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B478" w14:textId="77777777" w:rsidR="0048644A" w:rsidRPr="0048644A" w:rsidRDefault="0048644A" w:rsidP="0048644A">
      <w:pPr>
        <w:spacing w:after="0" w:line="240" w:lineRule="auto"/>
        <w:jc w:val="center"/>
        <w:rPr>
          <w:rFonts w:ascii="Nyala" w:hAnsi="Nyala"/>
          <w:sz w:val="12"/>
          <w:szCs w:val="12"/>
        </w:rPr>
      </w:pPr>
      <w:r w:rsidRPr="0048644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2C2B48C" wp14:editId="35846545">
            <wp:simplePos x="0" y="0"/>
            <wp:positionH relativeFrom="column">
              <wp:posOffset>-113762</wp:posOffset>
            </wp:positionH>
            <wp:positionV relativeFrom="paragraph">
              <wp:posOffset>-7083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35000"/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2B479" w14:textId="77777777" w:rsidR="0048644A" w:rsidRPr="0048644A" w:rsidRDefault="0048644A" w:rsidP="0048644A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14:paraId="12C2B47A" w14:textId="77777777" w:rsidR="0048644A" w:rsidRPr="0048644A" w:rsidRDefault="0048644A" w:rsidP="0048644A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14:paraId="12C2B47B" w14:textId="77777777" w:rsidR="0048644A" w:rsidRPr="0048644A" w:rsidRDefault="0048644A" w:rsidP="0048644A">
      <w:pPr>
        <w:spacing w:after="0" w:line="240" w:lineRule="auto"/>
        <w:jc w:val="center"/>
        <w:rPr>
          <w:rFonts w:ascii="Nyala" w:hAnsi="Nyala"/>
          <w:sz w:val="28"/>
          <w:szCs w:val="28"/>
        </w:rPr>
      </w:pPr>
    </w:p>
    <w:p w14:paraId="04CD99D6" w14:textId="77777777" w:rsidR="00366AE4" w:rsidRDefault="00501D68" w:rsidP="00501D68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  <w:r>
        <w:rPr>
          <w:rFonts w:ascii="Nyala" w:eastAsiaTheme="majorEastAsia" w:hAnsi="Nyala" w:cstheme="majorBidi"/>
          <w:color w:val="17365D" w:themeColor="text2" w:themeShade="BF"/>
          <w:spacing w:val="5"/>
          <w:kern w:val="28"/>
          <w:sz w:val="36"/>
          <w:szCs w:val="36"/>
        </w:rPr>
        <w:t xml:space="preserve">    </w:t>
      </w:r>
      <w: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>J</w:t>
      </w:r>
      <w:r w:rsidR="00366AE4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>ack and Jill Childcare Facilities</w:t>
      </w:r>
    </w:p>
    <w:p w14:paraId="12C2B47C" w14:textId="75699E0C" w:rsidR="0048644A" w:rsidRPr="0048644A" w:rsidRDefault="00366AE4" w:rsidP="00501D68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i/>
          <w:spacing w:val="5"/>
          <w:kern w:val="28"/>
        </w:rPr>
      </w:pPr>
      <w: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          </w:t>
      </w:r>
      <w:r w:rsidR="00501D68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</w:t>
      </w:r>
      <w:r w:rsidR="0048644A" w:rsidRPr="0048644A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="0048644A" w:rsidRPr="0048644A">
        <w:rPr>
          <w:rFonts w:asciiTheme="majorHAnsi" w:eastAsiaTheme="majorEastAsia" w:hAnsiTheme="majorHAnsi" w:cstheme="majorBidi"/>
          <w:i/>
          <w:spacing w:val="5"/>
          <w:kern w:val="28"/>
        </w:rPr>
        <w:t xml:space="preserve">where children can explore, </w:t>
      </w:r>
      <w:proofErr w:type="gramStart"/>
      <w:r w:rsidR="0048644A" w:rsidRPr="0048644A">
        <w:rPr>
          <w:rFonts w:asciiTheme="majorHAnsi" w:eastAsiaTheme="majorEastAsia" w:hAnsiTheme="majorHAnsi" w:cstheme="majorBidi"/>
          <w:i/>
          <w:spacing w:val="5"/>
          <w:kern w:val="28"/>
        </w:rPr>
        <w:t>create</w:t>
      </w:r>
      <w:proofErr w:type="gramEnd"/>
      <w:r w:rsidR="0048644A" w:rsidRPr="0048644A">
        <w:rPr>
          <w:rFonts w:asciiTheme="majorHAnsi" w:eastAsiaTheme="majorEastAsia" w:hAnsiTheme="majorHAnsi" w:cstheme="majorBidi"/>
          <w:i/>
          <w:spacing w:val="5"/>
          <w:kern w:val="28"/>
        </w:rPr>
        <w:t xml:space="preserve"> and discover the colour of dreams</w:t>
      </w:r>
    </w:p>
    <w:p w14:paraId="12C2B47D" w14:textId="77777777" w:rsidR="0048644A" w:rsidRPr="0048644A" w:rsidRDefault="0048644A" w:rsidP="0048644A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48644A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48644A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14:paraId="12C2B47E" w14:textId="77777777" w:rsidR="0048644A" w:rsidRDefault="0048644A" w:rsidP="005A08F7">
      <w:pPr>
        <w:rPr>
          <w:rFonts w:ascii="Nyala" w:hAnsi="Nyala" w:cs="Aharoni"/>
          <w:sz w:val="16"/>
          <w:szCs w:val="16"/>
        </w:rPr>
      </w:pPr>
    </w:p>
    <w:p w14:paraId="7F3271CB" w14:textId="77777777" w:rsidR="00366AE4" w:rsidRDefault="00366AE4" w:rsidP="00366AE4">
      <w:pPr>
        <w:rPr>
          <w:rFonts w:ascii="Avenir Next LT Pro Light" w:hAnsi="Avenir Next LT Pro Light"/>
          <w:b/>
          <w:bCs/>
          <w:i/>
          <w:iCs/>
          <w:sz w:val="24"/>
          <w:szCs w:val="24"/>
        </w:rPr>
      </w:pPr>
    </w:p>
    <w:p w14:paraId="24AC6BEE" w14:textId="2648A0B7" w:rsidR="00366AE4" w:rsidRPr="00BF0C16" w:rsidRDefault="00366AE4" w:rsidP="00366AE4">
      <w:pPr>
        <w:rPr>
          <w:rFonts w:ascii="Avenir Next LT Pro Light" w:hAnsi="Avenir Next LT Pro Light"/>
          <w:b/>
          <w:bCs/>
          <w:i/>
          <w:iCs/>
          <w:sz w:val="32"/>
          <w:szCs w:val="32"/>
        </w:rPr>
      </w:pPr>
      <w:r w:rsidRPr="00BF0C16">
        <w:rPr>
          <w:rFonts w:ascii="Avenir Next LT Pro Light" w:hAnsi="Avenir Next LT Pro Light"/>
          <w:b/>
          <w:bCs/>
          <w:i/>
          <w:iCs/>
          <w:sz w:val="32"/>
          <w:szCs w:val="32"/>
        </w:rPr>
        <w:t>Our philosophy:</w:t>
      </w:r>
    </w:p>
    <w:p w14:paraId="05B54F39" w14:textId="77777777" w:rsidR="00366AE4" w:rsidRPr="00BF0C16" w:rsidRDefault="00366AE4" w:rsidP="00BF0C16">
      <w:pPr>
        <w:pStyle w:val="ListParagraph"/>
        <w:numPr>
          <w:ilvl w:val="0"/>
          <w:numId w:val="6"/>
        </w:numPr>
        <w:spacing w:after="160" w:line="259" w:lineRule="auto"/>
        <w:rPr>
          <w:rFonts w:ascii="Avenir Next LT Pro Light" w:hAnsi="Avenir Next LT Pro Light"/>
          <w:sz w:val="28"/>
          <w:szCs w:val="28"/>
        </w:rPr>
      </w:pPr>
      <w:r w:rsidRPr="00BF0C16">
        <w:rPr>
          <w:rFonts w:ascii="Avenir Next LT Pro Light" w:hAnsi="Avenir Next LT Pro Light"/>
          <w:sz w:val="28"/>
          <w:szCs w:val="28"/>
        </w:rPr>
        <w:t>Children are best supported when parents and carers work together. A close partnership allows holistic development for individual children.</w:t>
      </w:r>
    </w:p>
    <w:p w14:paraId="17ACF54E" w14:textId="77777777" w:rsidR="00366AE4" w:rsidRPr="00BF0C16" w:rsidRDefault="00366AE4" w:rsidP="00BF0C16">
      <w:pPr>
        <w:pStyle w:val="ListParagraph"/>
        <w:numPr>
          <w:ilvl w:val="0"/>
          <w:numId w:val="6"/>
        </w:numPr>
        <w:spacing w:after="160" w:line="259" w:lineRule="auto"/>
        <w:rPr>
          <w:rFonts w:ascii="Avenir Next LT Pro Light" w:hAnsi="Avenir Next LT Pro Light"/>
          <w:sz w:val="28"/>
          <w:szCs w:val="28"/>
        </w:rPr>
      </w:pPr>
      <w:r w:rsidRPr="00BF0C16">
        <w:rPr>
          <w:rFonts w:ascii="Avenir Next LT Pro Light" w:hAnsi="Avenir Next LT Pro Light"/>
          <w:sz w:val="28"/>
          <w:szCs w:val="28"/>
        </w:rPr>
        <w:t>Children need a safe, secure, and stimulating environment to explore within.</w:t>
      </w:r>
    </w:p>
    <w:p w14:paraId="614B82A2" w14:textId="77777777" w:rsidR="00366AE4" w:rsidRPr="00BF0C16" w:rsidRDefault="00366AE4" w:rsidP="00BF0C16">
      <w:pPr>
        <w:pStyle w:val="ListParagraph"/>
        <w:numPr>
          <w:ilvl w:val="0"/>
          <w:numId w:val="6"/>
        </w:numPr>
        <w:spacing w:after="160" w:line="259" w:lineRule="auto"/>
        <w:rPr>
          <w:rFonts w:ascii="Avenir Next LT Pro Light" w:hAnsi="Avenir Next LT Pro Light"/>
          <w:sz w:val="28"/>
          <w:szCs w:val="28"/>
        </w:rPr>
      </w:pPr>
      <w:r w:rsidRPr="00BF0C16">
        <w:rPr>
          <w:rFonts w:ascii="Avenir Next LT Pro Light" w:hAnsi="Avenir Next LT Pro Light"/>
          <w:sz w:val="28"/>
          <w:szCs w:val="28"/>
        </w:rPr>
        <w:t>Children need opportunities to develop positive relationships with adults and children.</w:t>
      </w:r>
    </w:p>
    <w:p w14:paraId="28DF5DC4" w14:textId="77777777" w:rsidR="00366AE4" w:rsidRPr="00BF0C16" w:rsidRDefault="00366AE4" w:rsidP="00BF0C16">
      <w:pPr>
        <w:pStyle w:val="ListParagraph"/>
        <w:numPr>
          <w:ilvl w:val="0"/>
          <w:numId w:val="6"/>
        </w:numPr>
        <w:spacing w:after="160" w:line="259" w:lineRule="auto"/>
        <w:rPr>
          <w:rFonts w:ascii="Avenir Next LT Pro Light" w:hAnsi="Avenir Next LT Pro Light"/>
          <w:sz w:val="28"/>
          <w:szCs w:val="28"/>
        </w:rPr>
      </w:pPr>
      <w:r w:rsidRPr="00BF0C16">
        <w:rPr>
          <w:rFonts w:ascii="Avenir Next LT Pro Light" w:hAnsi="Avenir Next LT Pro Light"/>
          <w:sz w:val="28"/>
          <w:szCs w:val="28"/>
        </w:rPr>
        <w:t xml:space="preserve">That children’s experiences, family background, interests, </w:t>
      </w:r>
      <w:proofErr w:type="gramStart"/>
      <w:r w:rsidRPr="00BF0C16">
        <w:rPr>
          <w:rFonts w:ascii="Avenir Next LT Pro Light" w:hAnsi="Avenir Next LT Pro Light"/>
          <w:sz w:val="28"/>
          <w:szCs w:val="28"/>
        </w:rPr>
        <w:t>abilities</w:t>
      </w:r>
      <w:proofErr w:type="gramEnd"/>
      <w:r w:rsidRPr="00BF0C16">
        <w:rPr>
          <w:rFonts w:ascii="Avenir Next LT Pro Light" w:hAnsi="Avenir Next LT Pro Light"/>
          <w:sz w:val="28"/>
          <w:szCs w:val="28"/>
        </w:rPr>
        <w:t xml:space="preserve"> and cultural heritage should be positively reflected in the setting.</w:t>
      </w:r>
    </w:p>
    <w:p w14:paraId="1C1CE4AC" w14:textId="77777777" w:rsidR="00366AE4" w:rsidRPr="00BF0C16" w:rsidRDefault="00366AE4" w:rsidP="00BF0C16">
      <w:pPr>
        <w:pStyle w:val="ListParagraph"/>
        <w:numPr>
          <w:ilvl w:val="0"/>
          <w:numId w:val="6"/>
        </w:numPr>
        <w:spacing w:after="160" w:line="259" w:lineRule="auto"/>
        <w:rPr>
          <w:rFonts w:ascii="Avenir Next LT Pro Light" w:hAnsi="Avenir Next LT Pro Light"/>
          <w:sz w:val="28"/>
          <w:szCs w:val="28"/>
        </w:rPr>
      </w:pPr>
      <w:r w:rsidRPr="00BF0C16">
        <w:rPr>
          <w:rFonts w:ascii="Avenir Next LT Pro Light" w:hAnsi="Avenir Next LT Pro Light"/>
          <w:sz w:val="28"/>
          <w:szCs w:val="28"/>
        </w:rPr>
        <w:t>That children need to feel secure that their individual needs are being met.</w:t>
      </w:r>
    </w:p>
    <w:p w14:paraId="1B7D645E" w14:textId="77777777" w:rsidR="00366AE4" w:rsidRPr="00BF0C16" w:rsidRDefault="00366AE4" w:rsidP="00BF0C16">
      <w:pPr>
        <w:pStyle w:val="ListParagraph"/>
        <w:numPr>
          <w:ilvl w:val="0"/>
          <w:numId w:val="6"/>
        </w:numPr>
        <w:spacing w:after="160" w:line="259" w:lineRule="auto"/>
        <w:rPr>
          <w:rFonts w:ascii="Avenir Next LT Pro Light" w:hAnsi="Avenir Next LT Pro Light"/>
          <w:sz w:val="28"/>
          <w:szCs w:val="28"/>
        </w:rPr>
      </w:pPr>
      <w:r w:rsidRPr="00BF0C16">
        <w:rPr>
          <w:rFonts w:ascii="Avenir Next LT Pro Light" w:hAnsi="Avenir Next LT Pro Light"/>
          <w:sz w:val="28"/>
          <w:szCs w:val="28"/>
        </w:rPr>
        <w:t>That networking with other professionals is a supportive practice that provides positive opportunities for all children.</w:t>
      </w:r>
    </w:p>
    <w:p w14:paraId="3480215F" w14:textId="36ABB100" w:rsidR="00366AE4" w:rsidRPr="00BF0C16" w:rsidRDefault="00BF0C16" w:rsidP="00BF0C16">
      <w:pPr>
        <w:pStyle w:val="ListParagraph"/>
        <w:numPr>
          <w:ilvl w:val="0"/>
          <w:numId w:val="6"/>
        </w:numPr>
        <w:spacing w:after="160" w:line="259" w:lineRule="auto"/>
        <w:rPr>
          <w:rFonts w:ascii="Avenir Next LT Pro Light" w:hAnsi="Avenir Next LT Pro Light"/>
          <w:sz w:val="28"/>
          <w:szCs w:val="28"/>
        </w:rPr>
      </w:pPr>
      <w:r>
        <w:rPr>
          <w:rFonts w:ascii="Avenir Next LT Pro Light" w:hAnsi="Avenir Next LT Pro Light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B420980" wp14:editId="4E9539D1">
            <wp:simplePos x="0" y="0"/>
            <wp:positionH relativeFrom="column">
              <wp:posOffset>4445</wp:posOffset>
            </wp:positionH>
            <wp:positionV relativeFrom="paragraph">
              <wp:posOffset>493198</wp:posOffset>
            </wp:positionV>
            <wp:extent cx="5731510" cy="3815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508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366AE4" w:rsidRPr="00BF0C16">
        <w:rPr>
          <w:rFonts w:ascii="Avenir Next LT Pro Light" w:hAnsi="Avenir Next LT Pro Light"/>
          <w:sz w:val="28"/>
          <w:szCs w:val="28"/>
        </w:rPr>
        <w:t>There is great value in promotion of the core development of communication, physical and social skills.</w:t>
      </w:r>
    </w:p>
    <w:p w14:paraId="12C2B47F" w14:textId="4D32F346" w:rsidR="005A08F7" w:rsidRDefault="005A08F7" w:rsidP="005A08F7">
      <w:pPr>
        <w:rPr>
          <w:rFonts w:ascii="Nyala" w:hAnsi="Nyala" w:cs="Aharoni"/>
          <w:sz w:val="16"/>
          <w:szCs w:val="16"/>
        </w:rPr>
      </w:pPr>
    </w:p>
    <w:sectPr w:rsidR="005A08F7" w:rsidSect="005A08F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6AF1"/>
      </v:shape>
    </w:pict>
  </w:numPicBullet>
  <w:abstractNum w:abstractNumId="0" w15:restartNumberingAfterBreak="0">
    <w:nsid w:val="11854021"/>
    <w:multiLevelType w:val="hybridMultilevel"/>
    <w:tmpl w:val="D6F0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4EB8"/>
    <w:multiLevelType w:val="hybridMultilevel"/>
    <w:tmpl w:val="3E387F4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1217"/>
    <w:multiLevelType w:val="hybridMultilevel"/>
    <w:tmpl w:val="85766ADA"/>
    <w:lvl w:ilvl="0" w:tplc="7B1A1D5A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5A4E"/>
    <w:multiLevelType w:val="hybridMultilevel"/>
    <w:tmpl w:val="052A6FF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70A9"/>
    <w:multiLevelType w:val="hybridMultilevel"/>
    <w:tmpl w:val="8654B41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474AC"/>
    <w:multiLevelType w:val="hybridMultilevel"/>
    <w:tmpl w:val="318C197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729496">
    <w:abstractNumId w:val="0"/>
  </w:num>
  <w:num w:numId="2" w16cid:durableId="260064828">
    <w:abstractNumId w:val="5"/>
  </w:num>
  <w:num w:numId="3" w16cid:durableId="61372130">
    <w:abstractNumId w:val="4"/>
  </w:num>
  <w:num w:numId="4" w16cid:durableId="319651690">
    <w:abstractNumId w:val="1"/>
  </w:num>
  <w:num w:numId="5" w16cid:durableId="312030359">
    <w:abstractNumId w:val="2"/>
  </w:num>
  <w:num w:numId="6" w16cid:durableId="477693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184"/>
    <w:rsid w:val="000A6842"/>
    <w:rsid w:val="0010331D"/>
    <w:rsid w:val="002F02B3"/>
    <w:rsid w:val="00366AE4"/>
    <w:rsid w:val="00367DE4"/>
    <w:rsid w:val="0048644A"/>
    <w:rsid w:val="004E4712"/>
    <w:rsid w:val="004E6DC8"/>
    <w:rsid w:val="00501D68"/>
    <w:rsid w:val="005A08F7"/>
    <w:rsid w:val="006527C6"/>
    <w:rsid w:val="00916EB4"/>
    <w:rsid w:val="00BE484D"/>
    <w:rsid w:val="00BF0C16"/>
    <w:rsid w:val="00BF2FD2"/>
    <w:rsid w:val="00C9469C"/>
    <w:rsid w:val="00CF7184"/>
    <w:rsid w:val="00D17271"/>
    <w:rsid w:val="00FB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C2B478"/>
  <w15:docId w15:val="{D0162339-173C-4B74-AB08-D8BF8A1D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08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08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6A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ednet-rcdec.ca/en/event/2017/09/21/working-together-create-inclusive-community-programm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5</cp:revision>
  <cp:lastPrinted>2022-06-15T12:26:00Z</cp:lastPrinted>
  <dcterms:created xsi:type="dcterms:W3CDTF">2009-04-07T10:29:00Z</dcterms:created>
  <dcterms:modified xsi:type="dcterms:W3CDTF">2022-06-15T12:27:00Z</dcterms:modified>
</cp:coreProperties>
</file>